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0F536A33"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DF0BF5B" w14:textId="77777777" w:rsidR="00FF0C4C" w:rsidRPr="006677F8" w:rsidRDefault="00FF0C4C" w:rsidP="00FF0C4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6677F8">
        <w:rPr>
          <w:rFonts w:ascii="GHEA Grapalat" w:eastAsia="Times New Roman" w:hAnsi="GHEA Grapalat" w:cs="Sylfaen"/>
          <w:sz w:val="20"/>
          <w:szCs w:val="20"/>
          <w:lang w:val="hy-AM"/>
        </w:rPr>
        <w:t>Բնակարանների</w:t>
      </w:r>
      <w:r w:rsidRPr="006677F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6677F8">
        <w:rPr>
          <w:rFonts w:ascii="GHEA Grapalat" w:eastAsia="Times New Roman" w:hAnsi="GHEA Grapalat" w:cs="Sylfaen"/>
          <w:sz w:val="20"/>
          <w:szCs w:val="20"/>
          <w:lang w:val="hy-AM"/>
        </w:rPr>
        <w:t>և անհատական բնակելի տների էներգաարդյունավետ վերանորոգման աշխատանքների պետական աջակցության ծրագիր</w:t>
      </w:r>
    </w:p>
    <w:p w14:paraId="74E4A192" w14:textId="77777777" w:rsidR="003D54AC" w:rsidRPr="00FF0C4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5E231CCC" w:rsidR="003D54AC" w:rsidRPr="003D54AC" w:rsidRDefault="00FF0C4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677F8">
              <w:rPr>
                <w:rFonts w:ascii="GHEA Grapalat" w:hAnsi="GHEA Grapalat"/>
                <w:i/>
                <w:kern w:val="16"/>
                <w:sz w:val="20"/>
                <w:szCs w:val="20"/>
                <w:lang w:val="hy-AM"/>
              </w:rPr>
              <w:t>Էներգաարդյունավետության ծրագիր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02DBE97D" w:rsidR="003D54AC" w:rsidRPr="003D54AC" w:rsidRDefault="00FF0C4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1232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FF0C4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4B2BB3C1" w:rsidR="00FF0C4C" w:rsidRPr="00FF0C4C" w:rsidRDefault="00FF0C4C" w:rsidP="00FF0C4C">
            <w:pPr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FF0C4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FF0C4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2D5005DC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2022թ</w:t>
            </w: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. </w:t>
            </w:r>
          </w:p>
        </w:tc>
      </w:tr>
      <w:tr w:rsidR="00FF0C4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FF0C4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6C82B7CF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F50DB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  <w:t>203</w:t>
            </w:r>
            <w:r w:rsidR="005E4E0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  <w:lang w:val="ru-RU"/>
              </w:rPr>
              <w:t>2</w:t>
            </w:r>
            <w:r w:rsidRPr="00F50DB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թ</w:t>
            </w:r>
            <w:r w:rsidRPr="00F50DB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  <w:t>.</w:t>
            </w:r>
          </w:p>
        </w:tc>
      </w:tr>
      <w:tr w:rsidR="00FF0C4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FF0C4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0C387839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Չկա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FF0C4C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59A597BA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Էներգախնայողության և վերականգնվող էներգետիկայի ներուժի առավելագույն իրացում</w:t>
            </w:r>
          </w:p>
        </w:tc>
      </w:tr>
      <w:tr w:rsidR="00FF0C4C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FF0C4C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FF0C4C" w:rsidRPr="003D54AC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5633BEFA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20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22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 xml:space="preserve"> </w:t>
            </w:r>
            <w:r w:rsidRPr="00A27809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թ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.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ապրիլի 15-ի 520 – Լ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55BCB01E" w:rsidR="00FF0C4C" w:rsidRPr="003D54AC" w:rsidRDefault="00FF0C4C" w:rsidP="00FF0C4C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Ծրագրով կարգավորում է 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բ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նակարանի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համար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ներգրավված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վարկերի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տոկոսադրույք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սուբսիդավորվում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ը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գործողության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ողջ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ընթացքում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բայց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ոչ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ավելի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քան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7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տարի</w:t>
            </w:r>
            <w:proofErr w:type="spellEnd"/>
            <w:r w:rsidRPr="00A27809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:</w:t>
            </w:r>
          </w:p>
        </w:tc>
      </w:tr>
      <w:tr w:rsidR="00FF0C4C" w:rsidRPr="003D54AC" w14:paraId="74E4A1C1" w14:textId="77777777" w:rsidTr="0092346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5A44F429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20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22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 xml:space="preserve"> </w:t>
            </w:r>
            <w:r w:rsidRPr="00A27809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թ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.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մայիսի 26-ի 775 – Լ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C0" w14:textId="382C8DF9" w:rsidR="00FF0C4C" w:rsidRPr="003D54AC" w:rsidRDefault="00FF0C4C" w:rsidP="00FF0C4C">
            <w:pPr>
              <w:tabs>
                <w:tab w:val="left" w:pos="3930"/>
              </w:tabs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Կարգով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սահմանվում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բնակարանների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անհատական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աշխատանքների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պետական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այսուհետ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՝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ծրագիր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շահառուներին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ներկայացվող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պահանջները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իմաստով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էներգաարդյունավետության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չափանիշները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շրջանակներում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ծախսային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lastRenderedPageBreak/>
              <w:t>ուղղությունները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տոկոսադրույքների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սուբսիդավորման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ընթացակարգը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շրջանակներում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տրամադրվող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դադարեցման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հիմքերը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դադարեցման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պահի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դրությամբ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արդեն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ցուցաբերված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գումարի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տնօրինման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կարգը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մշտադիտարկմանը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առևտրային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բանկերի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կազմակերպությունների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այսուհետ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՝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կառույցներ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կողմից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Հայաստանի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Հանրապետության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տարածքային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կառավարման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ենթակառուցվածքների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նախարարություն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այսուհետ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՝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նախարարություն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ներկայացվող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հաշվետվություններին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վերաբերող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պահանջները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:</w:t>
            </w:r>
          </w:p>
        </w:tc>
      </w:tr>
      <w:tr w:rsidR="00FF0C4C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F0C4C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FF0C4C" w:rsidRPr="003D54AC" w14:paraId="74E4A1C8" w14:textId="77777777" w:rsidTr="00B12F53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C7" w14:textId="5119E0D8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 xml:space="preserve">Իրականացնում է տրամադրված վարկի տոկոսների մասնակի կամ ամբողջական </w:t>
            </w:r>
            <w:r w:rsidRPr="00CD5A82">
              <w:rPr>
                <w:rFonts w:ascii="GHEA Grapalat" w:eastAsia="Calibri" w:hAnsi="GHEA Grapalat" w:cs="Garamond"/>
                <w:i/>
                <w:sz w:val="20"/>
                <w:szCs w:val="20"/>
                <w:lang w:val="hy-AM" w:eastAsia="x-none"/>
              </w:rPr>
              <w:t>սուբսիդավորում</w:t>
            </w:r>
          </w:p>
        </w:tc>
      </w:tr>
      <w:tr w:rsidR="00FF0C4C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FF0C4C" w:rsidRPr="003D54AC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B" w14:textId="5B5709D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D5A82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CD5A82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CD5A82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 xml:space="preserve">և անհատական բնակելի տների էներգաարդյունավետ վերանորոգման աշխատանքների պետական աջակցության ծրագրի շահառու </w:t>
            </w:r>
            <w:r w:rsidRPr="00CD5A82">
              <w:rPr>
                <w:rFonts w:ascii="GHEA Grapalat" w:eastAsia="Calibri" w:hAnsi="GHEA Grapalat" w:cs="Times New Roman"/>
                <w:bCs/>
                <w:i/>
                <w:sz w:val="20"/>
                <w:szCs w:val="20"/>
                <w:lang w:val="hy-AM" w:eastAsia="x-none"/>
              </w:rPr>
              <w:t>ՀՀ</w:t>
            </w:r>
            <w:r w:rsidRPr="00CD5A82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 xml:space="preserve"> քաղաքացիներ</w:t>
            </w:r>
          </w:p>
        </w:tc>
      </w:tr>
      <w:tr w:rsidR="00FF0C4C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FF0C4C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FF0C4C" w:rsidRPr="003D54AC" w14:paraId="74E4A1D8" w14:textId="77777777" w:rsidTr="0022409B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F6258AC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D5" w14:textId="0F35907D" w:rsidR="00FF0C4C" w:rsidRPr="003D54AC" w:rsidRDefault="00FF0C4C" w:rsidP="00FF0C4C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325B36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և անհատական բնակելի տների էներգաարդյունավետ վերանորոգման աշխատանքների պետական աջակցության ծրագիր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D6" w14:textId="2CAEB35A" w:rsidR="00FF0C4C" w:rsidRPr="003D54AC" w:rsidRDefault="00FF0C4C" w:rsidP="00FF0C4C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Տրամադրվում է ծրագրի մասնակից շահառուներին էներգաարդյունավետ վերանորոգման վարկ՝ պետության կողմից մասնակի կամ ամբողջական սուբսիդավորմամբ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2693" w14:textId="77777777" w:rsidR="00FF0C4C" w:rsidRPr="00325B36" w:rsidRDefault="00FF0C4C" w:rsidP="00FF0C4C">
            <w:pPr>
              <w:spacing w:after="0" w:line="240" w:lineRule="auto"/>
              <w:jc w:val="both"/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</w:pP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325B36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և անհատական բնակելի տների էներգաարդյունավետ վերանորոգման աշխատանքների պետական աջակցության ծրագրի շահառու</w:t>
            </w:r>
          </w:p>
          <w:p w14:paraId="74E4A1D7" w14:textId="3C97B33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Calibri" w:hAnsi="GHEA Grapalat" w:cs="Times New Roman"/>
                <w:bCs/>
                <w:i/>
                <w:sz w:val="20"/>
                <w:szCs w:val="20"/>
                <w:lang w:val="hy-AM" w:eastAsia="x-none"/>
              </w:rPr>
              <w:t xml:space="preserve">ՀՀ </w:t>
            </w:r>
            <w:r w:rsidRPr="00325B36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քաղաքացիներ</w:t>
            </w:r>
          </w:p>
        </w:tc>
      </w:tr>
      <w:tr w:rsidR="00FF0C4C" w:rsidRPr="003D54AC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18825D5F" w14:textId="77777777" w:rsidTr="007A706F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F0C4C" w:rsidRPr="003D54AC" w14:paraId="45C12ABB" w14:textId="77777777" w:rsidTr="007A706F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FF0C4C" w:rsidRPr="003D54AC" w14:paraId="6FCE7646" w14:textId="77777777" w:rsidTr="00CA7BD0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26424894" w:rsidR="00FF0C4C" w:rsidRPr="00FF0C4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Շահառուներ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23F0C2E5" w:rsidR="00FF0C4C" w:rsidRPr="00F50DBF" w:rsidRDefault="00F07C84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A921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30000</w:t>
            </w:r>
            <w:r w:rsidR="00F50DB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38F098C4" w:rsidR="00FF0C4C" w:rsidRPr="00034350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F50DB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  <w:t>20</w:t>
            </w:r>
            <w:r w:rsidRPr="00F50DB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3</w:t>
            </w:r>
            <w:r w:rsidR="00034350" w:rsidRPr="00A921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  <w:lang w:val="ru-RU"/>
              </w:rPr>
              <w:t>2</w:t>
            </w:r>
          </w:p>
        </w:tc>
      </w:tr>
      <w:tr w:rsidR="00FF0C4C" w:rsidRPr="003D54AC" w14:paraId="3E84055B" w14:textId="77777777" w:rsidTr="006B2C29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3DE59970" w14:textId="77777777" w:rsidTr="00E35665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FF0C4C" w:rsidRPr="007A706F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FF0C4C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FF0C4C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FF0C4C" w:rsidRPr="003D54AC" w:rsidRDefault="00FF0C4C" w:rsidP="00FF0C4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FF0C4C" w:rsidRPr="003D54AC" w:rsidRDefault="00FF0C4C" w:rsidP="00FF0C4C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FF0C4C" w:rsidRPr="003D54AC" w:rsidRDefault="00FF0C4C" w:rsidP="00FF0C4C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203" w14:textId="77777777" w:rsidTr="00630F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FF" w14:textId="44A4DC51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23BDF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D23BDF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D23BDF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և անհատական բնակելի տների էներգաարդյունավետ վերանորոգման աշխատանքների պետական աջակցության ծրագիր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06AD" w14:textId="77777777" w:rsidR="00FF0C4C" w:rsidRPr="00325B36" w:rsidRDefault="00FF0C4C" w:rsidP="00FF0C4C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</w:pPr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ՀՀ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ապրիլի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15-ի N 520-Լ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ծրագիր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մայիսի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26-ի N 775-Լ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սահմանված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ստացված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դրանց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համապատասխանող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հայտերի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բավարարում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սուբսիդավորման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lastRenderedPageBreak/>
              <w:t>ենթակա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գումարների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փոխանցում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</w:p>
          <w:p w14:paraId="74E4A200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4C4294A5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lastRenderedPageBreak/>
              <w:t xml:space="preserve">ՀՀ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ապրիլի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15-ի N 520-Լ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ծրագիր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մայիսի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26-ի N 775-Լ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սահմանված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ստացված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դրանց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չհամապատասխանող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հայտերի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մերժում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սուբսիդավորման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գումարի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տրամադրման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դադարեցում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մշտադիտարկում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0975" w14:textId="77777777" w:rsidR="00FF0C4C" w:rsidRPr="00325B36" w:rsidRDefault="00FF0C4C" w:rsidP="00FF0C4C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</w:pPr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ՀՀ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ապրիլի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15-ի N 520-Լ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ծրագիր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մայիսի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26-ի N 775-Լ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</w:p>
          <w:p w14:paraId="74E4A20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FF0C4C" w:rsidRPr="003D54AC" w:rsidRDefault="00FF0C4C" w:rsidP="00FF0C4C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FF0C4C" w:rsidRPr="003D54AC" w14:paraId="74E4A213" w14:textId="77777777" w:rsidTr="00597DF9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12" w14:textId="19554374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ՀՀ տարածքային կառավարման և ենթակառուցվածքների նախարարության միջոցով ՀՀ պետական բյուջեից տրամադրվող սուբսիդավորում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D35ACA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35381AF2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325B36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 xml:space="preserve">և անհատական բնակելի տների էներգետիկ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արդյունավետության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պահանջներին</w:t>
            </w:r>
            <w:proofErr w:type="spellEnd"/>
            <w:r w:rsidRPr="00325B36">
              <w:rPr>
                <w:rFonts w:ascii="Courier New" w:eastAsia="Calibri" w:hAnsi="Courier New" w:cs="Courier New"/>
                <w:bCs/>
                <w:i/>
                <w:sz w:val="20"/>
                <w:szCs w:val="20"/>
                <w:lang w:val="x-none" w:eastAsia="x-none"/>
              </w:rPr>
              <w:t> 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համապատասխանող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պայմաններով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վերանորոգման միջոցով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Էնեգախնայողության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ապահովում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43E3592E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D35ACA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D35ACA" w:rsidRPr="003D54AC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0AC6C7B2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38B91121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Բնակարանների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անհատական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տների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աշխատանքների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պետական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ծրագիր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5AF8E6FB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Շահառուներ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37298A23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Քանակական, 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3F89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շահառու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կարող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հանդիսանալ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ՀՀ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-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ընդհանուր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իրավունքով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4C2F6D5E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տուն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ունեցող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ՀՀ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այն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քաղաքացիները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,</w:t>
            </w:r>
          </w:p>
          <w:p w14:paraId="5283A011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ովքեր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իրականացման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կարգն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ուժի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մեջ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մտնելուց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հետո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իրենց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1EA07BC1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lastRenderedPageBreak/>
              <w:t>վերանորոգման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համար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74E4A234" w14:textId="0DB84AD9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Կառույցներից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 Ծրագրով  սահմանված պայմաններով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ներգրավել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վարկային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միջոցներ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:</w:t>
            </w:r>
          </w:p>
        </w:tc>
      </w:tr>
      <w:tr w:rsidR="00D35ACA" w:rsidRPr="003D54AC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D35ACA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9263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ՀՀ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-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ընդհանուր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իրավունքով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 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տուն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ունեցող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ՀՀ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այն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քաղաքացիները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,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ովքեր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իրականացման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կարգն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ուժի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մեջ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մտնելուց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հետո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իրենց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համար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74E4A261" w14:textId="376DA666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կառույցներից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ներգրավել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վարկային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միջոցներ</w:t>
            </w:r>
            <w:proofErr w:type="spellEnd"/>
            <w:r w:rsidRPr="00325B36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r w:rsidRPr="00325B36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Շահառու</w:t>
            </w:r>
            <w:r w:rsidRPr="00325B36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D35ACA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2674BDE5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ՀՀ մարզեր և Երևան քաղաք</w:t>
            </w:r>
          </w:p>
        </w:tc>
      </w:tr>
      <w:tr w:rsidR="00D35ACA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5C4B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իմաստով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</w:p>
          <w:p w14:paraId="12DF753A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1)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է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դիտարկվում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գոյություն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ունեցող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բացառությամբ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4-րդ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աստիճանի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վնասվածություն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ունեցող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բազմաբնակարան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շենքի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անհատական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տունը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. </w:t>
            </w:r>
          </w:p>
          <w:p w14:paraId="21A0EC97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2)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վերանորոգումը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շրջանակներում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իրականացվելիք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աշխատանքների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ընդհանուր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արժեքից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բարձրացմանն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ուղղված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միջոցառումների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էներգիայի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այլընտրանքային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աղբյուրների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օգտագործվող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շինարարական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նյութերի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</w:p>
          <w:p w14:paraId="35A13160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էներգախնայող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ջեռուցման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համակարգերի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արտաքին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դռների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պատուհանների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ձեռքբերմանը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տեղադրմանը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փոխարինմանը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իսկ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անհատական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արտաքին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պատող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պարփակող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կոնստրուկցիաների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ջերմամեկուսացմանն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ուղղվում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</w:p>
          <w:p w14:paraId="03F00586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ա.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առնվազն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20%-ը, </w:t>
            </w:r>
          </w:p>
          <w:p w14:paraId="2A108A65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բ.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առնվազն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30%-ը. </w:t>
            </w:r>
          </w:p>
          <w:p w14:paraId="74E4A267" w14:textId="579A1EAE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3)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չափանիշները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սահմանվելու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իրականացման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կարգով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։</w:t>
            </w:r>
          </w:p>
        </w:tc>
      </w:tr>
      <w:tr w:rsidR="00D35ACA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4047EAD5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</w:tc>
      </w:tr>
      <w:tr w:rsidR="00D35ACA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0563EC8B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քանակական</w:t>
            </w:r>
          </w:p>
        </w:tc>
      </w:tr>
      <w:tr w:rsidR="00D35ACA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3A8A76FA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ՀՀ-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սեփականության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ընդհանուր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սեփականության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իրավունքով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ունեցող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ՀՀ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քաղաքացիները</w:t>
            </w:r>
            <w:proofErr w:type="spellEnd"/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D35ACA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025533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ՀՀ </w:t>
            </w:r>
            <w:proofErr w:type="spellStart"/>
            <w:r w:rsidRPr="009658EE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9658EE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9658EE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կառույցների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կողմից ներկայացված սուբսիդավորման հայտեր</w:t>
            </w:r>
          </w:p>
        </w:tc>
      </w:tr>
      <w:tr w:rsidR="00D35ACA" w:rsidRPr="008F1960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3914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2022-2023 թվականների ընթացքում, Համաձայն ՀՀ տարածքային կառավարման և ենթակառուցվածքների նախարարի 2022 թվականի հունիսի 17-ի թիվ 25-Լ հրամանով հաստատված՝ ՀՀ տարածքային կառավարման և ենթակառուցվածքների նախարարության և ՀՀ առևտրային բանկերի ու վարկային կազմակերպությունների միջև համագործակցության պայմանագրի կետերի.</w:t>
            </w:r>
          </w:p>
          <w:p w14:paraId="5BE97D52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10.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 xml:space="preserve">Ֆինանսական կառույցը պարտավոր է՝ </w:t>
            </w:r>
          </w:p>
          <w:p w14:paraId="27799074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1)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մինչև յուրաքանչյուր ամսվան հաջորդող ամսվա 5-րդ աշխատանքային օրը Նախարարության էլեկտրոնային փոստի հասցեով (mtai.secretariat@gmail.com) ներկայացնել Սուբսիդավորման գումարի փոխանցման վերաբերյալ հայտ` սույն պայմանագրին կից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1-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ով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սահմանված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ձևաչափերով և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ով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սահմանված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տեղեկությունները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, </w:t>
            </w:r>
          </w:p>
          <w:p w14:paraId="7DA76790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կիսամյակային կտրվածքով (յուրաքանչյուր կիսամյակին հաջորդող ամսվա 5-րդ աշխատանքային օրը) Նախարարությանը ներկայացնել հաշվետվություն Սուբսիդավորման գումարների օգտագործման վերաբերյալ՝ սույն պայմանագրին կից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Ձև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N1-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համապատասխան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,</w:t>
            </w:r>
          </w:p>
          <w:p w14:paraId="1A3CECB6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կիսամյակային կտրվածքով (յուրաքանչյուր կիսամյակին հաջորդող ամսվա 5-րդ աշխատանքային օրը) Նախարարությանը ներկայացնել հաշվետվություն Ծրագրի վերաբերյալ՝ սույն պայմանագրին կից Հավելված 1.3-ի Ձև N 2-ին համապատասխան,</w:t>
            </w:r>
          </w:p>
          <w:p w14:paraId="2E51BD16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4)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կիսամյակային կտրվածքով (յուրաքանչյուր կիսամյակին հաջորդող ամսվա 5-րդ աշխատանքային օրը) Նախարարությանը ներկայացնել հաշվետվություն Ծրագրի մոնիթորինգի վերաբերյալ՝ սույն պայմանագրին կից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Ձև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N 3-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համապատասխան։</w:t>
            </w:r>
          </w:p>
          <w:p w14:paraId="74E4A278" w14:textId="573E9306" w:rsidR="00D35ACA" w:rsidRPr="00D35ACA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</w:p>
        </w:tc>
      </w:tr>
      <w:tr w:rsidR="00D35ACA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35D4D2CC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ՀՀ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տարածքային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կառավարման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ենթակառուցվածքների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նախարարությ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ու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,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ՀՀ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առևտրային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բանկեր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վարկային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կազմակերպություններ</w:t>
            </w:r>
            <w:proofErr w:type="spellEnd"/>
          </w:p>
        </w:tc>
      </w:tr>
      <w:tr w:rsidR="00D35ACA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6A2AFD3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Ֆինանսական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կառույցն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իրավունք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վերանորոգման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վարկերի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տրամադրման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ժամանակ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կիրառել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«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Ջերմ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Օջախ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» և «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Տանիք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»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ներքո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մշակված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առցանց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գործիքակազմը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այդ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թվում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առաջնորդվելով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միջոցառումների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տվյալ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ներքո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սահմանված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տեխնիկական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բնութագրերով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համարժեք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գործիքակազմ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համապատասխանության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գնահատման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հաշվետվությունների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կազմման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նպատակով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: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նշումներ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9394F" w14:textId="77777777" w:rsidR="00465F2E" w:rsidRDefault="00465F2E" w:rsidP="00F06C50">
      <w:pPr>
        <w:spacing w:after="0" w:line="240" w:lineRule="auto"/>
      </w:pPr>
      <w:r>
        <w:separator/>
      </w:r>
    </w:p>
  </w:endnote>
  <w:endnote w:type="continuationSeparator" w:id="0">
    <w:p w14:paraId="6F0A7533" w14:textId="77777777" w:rsidR="00465F2E" w:rsidRDefault="00465F2E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76F2507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1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CBE4E" w14:textId="77777777" w:rsidR="00465F2E" w:rsidRDefault="00465F2E" w:rsidP="00F06C50">
      <w:pPr>
        <w:spacing w:after="0" w:line="240" w:lineRule="auto"/>
      </w:pPr>
      <w:r>
        <w:separator/>
      </w:r>
    </w:p>
  </w:footnote>
  <w:footnote w:type="continuationSeparator" w:id="0">
    <w:p w14:paraId="140FB15A" w14:textId="77777777" w:rsidR="00465F2E" w:rsidRDefault="00465F2E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0041" w14:textId="1B5401F1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5թ </w:t>
    </w:r>
    <w:proofErr w:type="spellStart"/>
    <w:r w:rsidRPr="00AB34CB">
      <w:rPr>
        <w:rFonts w:ascii="GHEA Grapalat" w:hAnsi="GHEA Grapalat"/>
        <w:i/>
        <w:iCs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5F10B" id="Straight Connector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34350"/>
    <w:rsid w:val="00054601"/>
    <w:rsid w:val="00130782"/>
    <w:rsid w:val="001C1520"/>
    <w:rsid w:val="001F7F74"/>
    <w:rsid w:val="00210C16"/>
    <w:rsid w:val="003A1849"/>
    <w:rsid w:val="003D54AC"/>
    <w:rsid w:val="00465F2E"/>
    <w:rsid w:val="004F5DB2"/>
    <w:rsid w:val="00574CBE"/>
    <w:rsid w:val="00590ABA"/>
    <w:rsid w:val="005B4E30"/>
    <w:rsid w:val="005D05FD"/>
    <w:rsid w:val="005E4E01"/>
    <w:rsid w:val="00611729"/>
    <w:rsid w:val="006F5FBE"/>
    <w:rsid w:val="00756FF0"/>
    <w:rsid w:val="007A55D5"/>
    <w:rsid w:val="007A706F"/>
    <w:rsid w:val="007B4A4C"/>
    <w:rsid w:val="008277DD"/>
    <w:rsid w:val="008C227E"/>
    <w:rsid w:val="008F1960"/>
    <w:rsid w:val="00950CA0"/>
    <w:rsid w:val="00972C88"/>
    <w:rsid w:val="00A921DD"/>
    <w:rsid w:val="00AB34CB"/>
    <w:rsid w:val="00AE100C"/>
    <w:rsid w:val="00B101B2"/>
    <w:rsid w:val="00B86365"/>
    <w:rsid w:val="00B961EA"/>
    <w:rsid w:val="00C46ACE"/>
    <w:rsid w:val="00C53E98"/>
    <w:rsid w:val="00CA4CAA"/>
    <w:rsid w:val="00D0582F"/>
    <w:rsid w:val="00D060B2"/>
    <w:rsid w:val="00D35ACA"/>
    <w:rsid w:val="00EA73D4"/>
    <w:rsid w:val="00F0041F"/>
    <w:rsid w:val="00F06C50"/>
    <w:rsid w:val="00F07C84"/>
    <w:rsid w:val="00F50DBF"/>
    <w:rsid w:val="00F6310D"/>
    <w:rsid w:val="00F71C83"/>
    <w:rsid w:val="00FA126D"/>
    <w:rsid w:val="00F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0B76D6B8-2EB9-45C5-9710-E933B17C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A5F3D-304A-49BF-90BD-17AA51A6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Meri Aghekyan</cp:lastModifiedBy>
  <cp:revision>13</cp:revision>
  <dcterms:created xsi:type="dcterms:W3CDTF">2024-02-23T15:23:00Z</dcterms:created>
  <dcterms:modified xsi:type="dcterms:W3CDTF">2025-02-25T13:03:00Z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